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天津市建筑工程职工大学</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天津市建筑工程职工大学</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培养成人高等学历人才，为社会和建设行业提供相关岗位培训、专业技术培训、相关技术服务</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天津市建筑工程职工大学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单位本级（内设9个职能科室）。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天津市建筑工程职工大学</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11955400.00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26457657.26</w:t>
            </w: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13376836.56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1521000.00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494000.00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1735942.31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27068178.87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28472657.26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1404478.39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28472657.26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28472657.26</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天津市建筑工程职工大学</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27068178.87</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11955400.00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13376836.56</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13376836.56</w:t>
            </w: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1735942.31</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25053178.87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9940400.00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13376836.56</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13376836.56</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1735942.31</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职业教育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25053178.87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9940400.00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13376836.56</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13376836.56</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1735942.31</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2050399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其他职业教育支出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25053178.87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9940400.00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13376836.56</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13376836.56</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1735942.31</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1521000.00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1521000.00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1521000.00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1521000.00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1014000.00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1014000.00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333000.00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333000.00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天津市建筑工程职工大学</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28472657.26</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27068178.87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11955400.00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13376836.56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1735942.31</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330287</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天津市建筑工程职工大学</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28472657.26</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27068178.87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11955400.00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13376836.56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1735942.31</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天津市建筑工程职工大学</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1404478.39</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1404478.39</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1404478.39</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330287</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天津市建筑工程职工大学</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1404478.39</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1404478.39</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1404478.39</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天津市建筑工程职工大学</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28472657.26</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27282657.26</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1190000.00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教育支出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26457657.26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25267657.26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职业教育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26457657.26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25267657.26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2050399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其他职业教育支出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26457657.26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25267657.26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1014000.00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1014000.00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天津市建筑工程职工大学</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11955400.00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9940400.00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9940400.00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1521000.00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1521000.00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494000.00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494000.00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11955400.00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11955400.00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11955400.00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11955400.00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11955400.00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11955400.00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天津市建筑工程职工大学</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11955400.00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10765400.00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10765400.00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1190000.00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教育支出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9940400.00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8750400.00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8750400.00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职业教育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9940400.00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8750400.00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8750400.00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其他职业教育支出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9940400.00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8750400.00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8750400.00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1014000.00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1014000.00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1014000.00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天津市建筑工程职工大学</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10076400.00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3441935.90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1361841.59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3375622.51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1014000.00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333000.00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43000.00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689000.00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571000.00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10765400.00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天津市建筑工程职工大学</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天津市建筑工程职工大学2025年度政府性基金预算财政拨款收入支出决算表为空表。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天津市建筑工程职工大学</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天津市建筑工程职工大学2025年度国有资本经营预算财政拨款收入支出决算表为空表。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天津市建筑工程职工大学</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天津市建筑工程职工大学2025年财政拨款“三公”经费支出决算表为空表。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天津市建筑工程职工大学</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1190000.00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1190000.00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职业教育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其他职业教育支出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支持教育事业发展-各类学校校舍维修（2025年）（建工职大）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天津市建筑工程职工大学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28,472,657.26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减少2,715,112.78元，下降8.71%</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合作办学相关收支减少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一般公共预算财政拨款收入11,955,400.00元、财政专户管理资金收入13,376,836.56元、其他收入1,735,942.31元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教育支出26,457,657.26元、社会保障和就业支出1,521,000.00元、卫生健康支出494,000.00元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天津市建筑工程职工大学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27,068,178.87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减少1,140,226.22元，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学费收入减少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一般公共预算财政拨款收入11,955,400.00元，占44.17%；财政专户管理资金收入13,376,836.56元，占49.42%；其他收入1,735,942.31元，占6.41%</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天津市建筑工程职工大学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28,472,657.26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减少2,715,112.78元，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合作办学相关支出减少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基本支出27,282,657.26元，占95.82%；项目支出1,190,000.00元，占4.18%</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天津市建筑工程职工大学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11,955,400.00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增加2,251,400.00元，增长23.20%，</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2025年增加校舍维修财政拨款项目</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一般公共预算财政拨款11,955,400.00元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教育支出9,940,400.00元、社会保障和就业支出1,521,000.00元、卫生健康支出494,000.00元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天津市建筑工程职工大学2025年度一般公共预算财政拨款支出合计11,955,400.00元，占本年支出合计的41.99%。与2024年度相比，一般公共预算财政拨款支出</w:t>
      </w:r>
      <w:r>
        <w:rPr>
          <w:rFonts w:eastAsia="仿宋_GB2312" w:hint="eastAsia"/>
          <w:sz w:val="30"/>
          <w:szCs w:val="30"/>
          <w:highlight w:val="none"/>
          <w:lang w:val="en-US" w:eastAsia="zh-CN"/>
        </w:rPr>
        <w:t xml:space="preserve">增加2,251,400.00元</w:t>
      </w:r>
      <w:r>
        <w:rPr>
          <w:rFonts w:eastAsia="仿宋_GB2312" w:hint="eastAsia"/>
          <w:sz w:val="30"/>
          <w:szCs w:val="30"/>
          <w:highlight w:val="none"/>
          <w:lang w:val="en-US" w:eastAsia="zh-CN"/>
        </w:rPr>
        <w:t xml:space="preserve">，增长23.20%</w:t>
      </w:r>
      <w:r>
        <w:rPr>
          <w:rFonts w:eastAsia="仿宋_GB2312" w:hint="eastAsia"/>
          <w:sz w:val="30"/>
          <w:szCs w:val="30"/>
          <w:highlight w:val="none"/>
          <w:lang w:val="en-US" w:eastAsia="zh-CN"/>
        </w:rPr>
        <w:t xml:space="preserve">，主要原因是2025年增加校舍维修项目支出。</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2025年度一般公共预算财政拨款支出11,955,400.00元，主要用于以下方面：</w:t>
      </w:r>
      <w:r>
        <w:rPr>
          <w:rFonts w:eastAsia="仿宋_GB2312" w:hint="eastAsia"/>
          <w:sz w:val="30"/>
          <w:szCs w:val="30"/>
          <w:highlight w:val="none"/>
        </w:rPr>
        <w:t xml:space="preserve">教育支出（类）支出9,940,400.00元，占83.15%，社会保障和就业支出（类）支出1,521,000.00元，占12.72%，卫生健康支出（类）支出494,000.00元，占4.13%</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2025年度一般公共预算财政拨款支出年初预算为11,513,000.00元，支出决算为11,955,400.00元</w:t>
      </w:r>
      <w:r>
        <w:rPr>
          <w:rFonts w:eastAsia="仿宋_GB2312" w:hint="eastAsia"/>
          <w:sz w:val="30"/>
          <w:szCs w:val="30"/>
          <w:highlight w:val="none"/>
          <w:lang w:val="en-US" w:eastAsia="zh-CN"/>
        </w:rPr>
        <w:t xml:space="preserve">，完成年初预算的103.84%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1.教育支出（类）职业教育（款）其他职业教育支出（项）年初预算为9,498,000.00元，支出决算为9,940,400.00元，完成年初预算的104.66%，决算数大于年初预算数的主要原因是：追加人员经费。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基本养老保险缴费支出（项）年初预算为1,014,000.00元，支出决算为1,014,000.00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行政事业单位养老支出（款）机关事业单位职业年金缴费支出（项）年初预算为507,000.00元，支出决算为507,000.00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4.卫生健康支出（类）行政事业单位医疗（款）事业单位医疗（项）年初预算为333,000.00元，支出决算为333,000.00元，完成年初预算的100.00%，决算数与年初预算数持平的主要原因是：严格按照预算执行。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行政事业单位医疗（款）其他行政事业单位医疗支出（项）年初预算为161,000.00元，支出决算为161,000.00元，完成年初预算的100.00%，决算数与年初预算数持平的主要原因是：严格按照预算执行。</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天津市建筑工程职工大学2025年度一般公共预算财政拨款基本支出合计10,765,400.00元，与2024年度相比</w:t>
      </w:r>
      <w:r>
        <w:rPr>
          <w:rFonts w:eastAsia="仿宋_GB2312" w:hint="eastAsia"/>
          <w:sz w:val="30"/>
          <w:szCs w:val="30"/>
          <w:highlight w:val="none"/>
          <w:lang w:val="en-US" w:eastAsia="zh-CN"/>
        </w:rPr>
        <w:t xml:space="preserve">增加1,061,400.00元，</w:t>
      </w:r>
      <w:r>
        <w:rPr>
          <w:rFonts w:eastAsia="仿宋_GB2312" w:hint="eastAsia"/>
          <w:sz w:val="30"/>
          <w:szCs w:val="30"/>
          <w:highlight w:val="none"/>
          <w:lang w:val="en-US" w:eastAsia="zh-CN"/>
        </w:rPr>
        <w:t xml:space="preserve">主要原因是人员经费增加。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人员经费10,765,400.00元，主要包括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基本工资、津贴补贴、绩效工资、机关事业单位基本养老保险缴费、职业年金缴费、职工基本医疗保险缴费、医疗费、退休费、医疗费补助</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天津市建筑工程职工大学2025年度无政府性基金预算财政拨款收入、支出和结转结余。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天津市建筑工程职工大学2025年度无国有资本经营预算财政拨款收入、支出和结转结余。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决算数较上年持平的主要原因是本年度未用财政拨款经费列支“三公”经费预算。</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决算数较上年持平的主要原因是本年度未用财政拨款经费列支公车运行维护费。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天津市建筑工程职工大学2025年度无机关运行经费。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建筑工程职工大学2025年政府采购支出总额3,045,909.90元，其中：政府采购货物支出11,190.00元、政府采购工程支出2,299,650.00元、政府采购服务支出735,069.90元。授予中小企业合同金额3,045,909.90元，占政府采购支出总额的100.00%，其中：授予小微企业合同金额3,045,909.90元，占政府采购支出总额的100.00%；货物采购授予中小企业合同金额占货物支出金额的100.00%，工程采购授予中小企业合同金额占工程支出金额的100.00%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截至2025年12月31日，天津市建筑工程职工大学共有车辆4辆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其他用车4辆</w:t>
      </w:r>
      <w:r>
        <w:rPr>
          <w:rFonts w:eastAsia="仿宋_GB2312" w:hint="eastAsia"/>
          <w:sz w:val="30"/>
          <w:szCs w:val="30"/>
          <w:highlight w:val="none"/>
          <w:lang w:val="en-US" w:eastAsia="zh-CN"/>
        </w:rPr>
        <w:t xml:space="preserve">，其他用车主要包括其他业务用车</w:t>
      </w:r>
      <w:r>
        <w:rPr>
          <w:rFonts w:eastAsia="仿宋_GB2312" w:hint="eastAsia"/>
          <w:sz w:val="30"/>
          <w:szCs w:val="30"/>
          <w:highlight w:val="none"/>
          <w:lang w:val="en-US" w:eastAsia="zh-CN"/>
        </w:rPr>
        <w:t xml:space="preserve">。单价100万元以上的设备0台（套）。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根据预算绩效管理要求，天津市建筑工程职工大学已对 2个 2025 年度市级项目开展绩效自评，涉及金额 2,890,000元，自评结果已随部门决算一并公开。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天津市建筑工程职工大学不属于乡、镇、街级单位，不涉及公开2025年度教育、医疗卫生、社会保障和就业、住房保障、涉农补贴等民生支出情况。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366EA100-E45C-4441-AC26-CEE9263041DE}"/>
    <w:embedBold r:id="rId2" w:subsetted="1" w:fontKey="{7FC763D0-EAC9-4993-B479-D13981B5164C}"/>
  </w:font>
  <w:font w:name="Cambria">
    <w:panose1 w:val="02040503050406030204"/>
    <w:charset w:val="00"/>
    <w:family w:val="roman"/>
    <w:pitch w:val="default"/>
    <w:sig w:usb0="E00006FF" w:usb1="420024FF" w:usb2="02000000" w:usb3="00000000" w:csb0="2000019F" w:csb1="00000000"/>
    <w:embedRegular r:id="rId3" w:fontKey="{4EF672B2-13B5-475B-8540-F655988D9575}"/>
  </w:font>
  <w:font w:name="Calibri">
    <w:panose1 w:val="020F0502020204030204"/>
    <w:charset w:val="00"/>
    <w:family w:val="swiss"/>
    <w:pitch w:val="default"/>
    <w:sig w:usb0="E4002EFF" w:usb1="C200247B" w:usb2="00000009" w:usb3="00000000" w:csb0="200001FF" w:csb1="00000000"/>
    <w:embedRegular r:id="rId4" w:fontKey="{898C099F-6350-4CE6-98BD-C4EEECA72DD8}"/>
  </w:font>
  <w:font w:name="黑体">
    <w:panose1 w:val="02010609060101010101"/>
    <w:charset w:val="FFFFFF86"/>
    <w:family w:val="auto"/>
    <w:pitch w:val="default"/>
    <w:sig w:usb0="800002BF" w:usb1="38CF7CFA" w:usb2="00000016" w:usb3="00000000" w:csb0="00040001" w:csb1="00000000"/>
    <w:embedRegular r:id="rId5" w:subsetted="1" w:fontKey="{8807E436-2EA4-4BDC-8D49-7F9D88A6B3C7}"/>
    <w:embedBold r:id="rId6" w:subsetted="1" w:fontKey="{6BB2D7AE-B75E-4F2C-B679-09DA0C5E3483}"/>
  </w:font>
  <w:font w:name="方正小标宋简体">
    <w:altName w:val="黑体"/>
    <w:panose1 w:val="02000000000000000000"/>
    <w:charset w:val="FFFFFF86"/>
    <w:family w:val="auto"/>
    <w:pitch w:val="default"/>
    <w:sig w:usb0="00000001" w:usb1="08000000" w:usb2="00000000" w:usb3="00000000" w:csb0="00040000" w:csb1="00000000"/>
    <w:embedRegular r:id="rId7" w:fontKey="{B8B0B123-467F-4BE6-87D0-B1680293401B}"/>
    <w:embedBold r:id="rId8" w:fontKey="{7461053E-7350-4D17-9D64-14532ABDDAB5}"/>
  </w:font>
  <w:font w:name="仿宋">
    <w:panose1 w:val="02010609060101010101"/>
    <w:charset w:val="FFFFFF86"/>
    <w:family w:val="auto"/>
    <w:pitch w:val="default"/>
    <w:sig w:usb0="800002BF" w:usb1="38CF7CFA" w:usb2="00000016" w:usb3="00000000" w:csb0="00040001" w:csb1="00000000"/>
    <w:embedRegular r:id="rId9" w:subsetted="1" w:fontKey="{5F0E20A9-68E3-420C-8138-A72D9183AF03}"/>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0F7CD087-DBDD-4354-A669-3ACB73692500}"/>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724377B1-6853-4794-981C-07DB14A96F52}"/>
    <w:embedBold r:id="rId12" w:subsetted="1" w:fontKey="{B1CE420F-B623-426C-B484-95FC4D25A92F}"/>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18</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26</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29</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