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94E87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600" w:lineRule="exact"/>
        <w:rPr>
          <w:rFonts w:hint="eastAsia" w:ascii="黑体" w:hAnsi="黑体" w:eastAsia="黑体" w:cs="黑体"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4"/>
          <w:szCs w:val="34"/>
          <w:highlight w:val="none"/>
          <w:lang w:val="en-US" w:eastAsia="zh-CN"/>
        </w:rPr>
        <w:t>附件：</w:t>
      </w:r>
      <w:bookmarkStart w:id="0" w:name="_GoBack"/>
      <w:r>
        <w:rPr>
          <w:rFonts w:hint="eastAsia" w:ascii="黑体" w:hAnsi="黑体" w:eastAsia="黑体" w:cs="黑体"/>
          <w:color w:val="auto"/>
          <w:sz w:val="34"/>
          <w:szCs w:val="34"/>
          <w:highlight w:val="none"/>
          <w:lang w:val="en-US" w:eastAsia="zh-CN"/>
        </w:rPr>
        <w:t>综合评分表</w:t>
      </w:r>
      <w:bookmarkEnd w:id="0"/>
    </w:p>
    <w:tbl>
      <w:tblPr>
        <w:tblStyle w:val="3"/>
        <w:tblpPr w:leftFromText="180" w:rightFromText="180" w:vertAnchor="text" w:horzAnchor="page" w:tblpX="1645" w:tblpY="63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1784"/>
        <w:gridCol w:w="5746"/>
        <w:gridCol w:w="636"/>
      </w:tblGrid>
      <w:tr w14:paraId="1F59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24" w:type="pct"/>
            <w:gridSpan w:val="3"/>
            <w:noWrap/>
            <w:vAlign w:val="center"/>
          </w:tcPr>
          <w:p w14:paraId="5E506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第一部分 价格分（满分30分）</w:t>
            </w:r>
          </w:p>
        </w:tc>
        <w:tc>
          <w:tcPr>
            <w:tcW w:w="375" w:type="pct"/>
            <w:noWrap w:val="0"/>
            <w:vAlign w:val="center"/>
          </w:tcPr>
          <w:p w14:paraId="11871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分值</w:t>
            </w:r>
          </w:p>
        </w:tc>
      </w:tr>
      <w:tr w14:paraId="40DA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6" w:type="pct"/>
            <w:noWrap/>
            <w:vAlign w:val="center"/>
          </w:tcPr>
          <w:p w14:paraId="5494C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52" w:type="pct"/>
            <w:noWrap w:val="0"/>
            <w:vAlign w:val="center"/>
          </w:tcPr>
          <w:p w14:paraId="3787A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价格</w:t>
            </w:r>
          </w:p>
        </w:tc>
        <w:tc>
          <w:tcPr>
            <w:tcW w:w="3375" w:type="pct"/>
            <w:noWrap w:val="0"/>
            <w:vAlign w:val="center"/>
          </w:tcPr>
          <w:p w14:paraId="68BD3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造价咨询服务取费标准主要依据“津价房地〔2008〕136号”收费标准收费结合市场价格。以下表为计算基数，</w:t>
            </w:r>
          </w:p>
          <w:p w14:paraId="70AFE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83185</wp:posOffset>
                  </wp:positionV>
                  <wp:extent cx="3650615" cy="983615"/>
                  <wp:effectExtent l="0" t="0" r="6985" b="6985"/>
                  <wp:wrapTight wrapText="bothSides">
                    <wp:wrapPolygon>
                      <wp:start x="0" y="0"/>
                      <wp:lineTo x="0" y="21335"/>
                      <wp:lineTo x="21529" y="21335"/>
                      <wp:lineTo x="21529" y="0"/>
                      <wp:lineTo x="0" y="0"/>
                    </wp:wrapPolygon>
                  </wp:wrapTight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0615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以合理费率下浮为重要参考，下浮折扣最低单位为基准得30分，其他单位折扣按比例得分；有效报价需提供承诺函，否则按不得分计。</w:t>
            </w:r>
          </w:p>
        </w:tc>
        <w:tc>
          <w:tcPr>
            <w:tcW w:w="375" w:type="pct"/>
            <w:noWrap w:val="0"/>
            <w:vAlign w:val="center"/>
          </w:tcPr>
          <w:p w14:paraId="7D691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30分</w:t>
            </w:r>
          </w:p>
        </w:tc>
      </w:tr>
      <w:tr w14:paraId="7B3D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624" w:type="pct"/>
            <w:gridSpan w:val="3"/>
            <w:noWrap/>
            <w:vAlign w:val="center"/>
          </w:tcPr>
          <w:p w14:paraId="2DF68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第二部分 客观分（满分35分）</w:t>
            </w:r>
          </w:p>
        </w:tc>
        <w:tc>
          <w:tcPr>
            <w:tcW w:w="375" w:type="pct"/>
            <w:noWrap w:val="0"/>
            <w:vAlign w:val="center"/>
          </w:tcPr>
          <w:p w14:paraId="469A9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分值</w:t>
            </w:r>
          </w:p>
        </w:tc>
      </w:tr>
      <w:tr w14:paraId="34AE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96" w:type="pct"/>
            <w:noWrap/>
            <w:vAlign w:val="center"/>
          </w:tcPr>
          <w:p w14:paraId="2D742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52" w:type="pct"/>
            <w:noWrap w:val="0"/>
            <w:vAlign w:val="center"/>
          </w:tcPr>
          <w:p w14:paraId="1F717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供应商业绩</w:t>
            </w:r>
          </w:p>
        </w:tc>
        <w:tc>
          <w:tcPr>
            <w:tcW w:w="3375" w:type="pct"/>
            <w:noWrap w:val="0"/>
            <w:vAlign w:val="center"/>
          </w:tcPr>
          <w:p w14:paraId="1003D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供应商须提供2022年1月至今造价咨询服务项目的合同业绩。每提供1个业绩得3分，最高15分，无类似项目的不得分；</w:t>
            </w:r>
          </w:p>
          <w:p w14:paraId="7CE70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供应商须提供业绩合同复印件并加盖公章。</w:t>
            </w:r>
          </w:p>
        </w:tc>
        <w:tc>
          <w:tcPr>
            <w:tcW w:w="375" w:type="pct"/>
            <w:noWrap w:val="0"/>
            <w:vAlign w:val="center"/>
          </w:tcPr>
          <w:p w14:paraId="19AC7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15分</w:t>
            </w:r>
          </w:p>
        </w:tc>
      </w:tr>
      <w:tr w14:paraId="6023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6" w:type="pct"/>
            <w:noWrap/>
            <w:vAlign w:val="center"/>
          </w:tcPr>
          <w:p w14:paraId="4007FC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052" w:type="pct"/>
            <w:noWrap w:val="0"/>
            <w:vAlign w:val="center"/>
          </w:tcPr>
          <w:p w14:paraId="13B99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团队人员</w:t>
            </w:r>
          </w:p>
        </w:tc>
        <w:tc>
          <w:tcPr>
            <w:tcW w:w="3375" w:type="pct"/>
            <w:noWrap w:val="0"/>
            <w:vAlign w:val="center"/>
          </w:tcPr>
          <w:p w14:paraId="5D6F8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项目负责人及团队人员须具备注册造价工程师资格2名及以上一级注册造价工程师得10分，每减少1名扣5分，扣完为止。</w:t>
            </w:r>
          </w:p>
          <w:p w14:paraId="5484A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人员专业匹配度：团队成员涵盖土建、安装、装饰等专业，且有教育行业项目经验的得10分，专业不全扣5分，无相关行业经验扣5分。</w:t>
            </w:r>
          </w:p>
        </w:tc>
        <w:tc>
          <w:tcPr>
            <w:tcW w:w="375" w:type="pct"/>
            <w:noWrap w:val="0"/>
            <w:vAlign w:val="center"/>
          </w:tcPr>
          <w:p w14:paraId="47DED9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20分</w:t>
            </w:r>
          </w:p>
        </w:tc>
      </w:tr>
      <w:tr w14:paraId="3B7C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624" w:type="pct"/>
            <w:gridSpan w:val="3"/>
            <w:noWrap/>
            <w:vAlign w:val="center"/>
          </w:tcPr>
          <w:p w14:paraId="2E4ED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第三部分 主观分（满分35分）</w:t>
            </w:r>
          </w:p>
        </w:tc>
        <w:tc>
          <w:tcPr>
            <w:tcW w:w="375" w:type="pct"/>
            <w:noWrap w:val="0"/>
            <w:vAlign w:val="center"/>
          </w:tcPr>
          <w:p w14:paraId="5BDEA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分值</w:t>
            </w:r>
          </w:p>
        </w:tc>
      </w:tr>
      <w:tr w14:paraId="1420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6" w:type="pct"/>
            <w:noWrap/>
            <w:vAlign w:val="center"/>
          </w:tcPr>
          <w:p w14:paraId="2FFD3D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52" w:type="pct"/>
            <w:noWrap w:val="0"/>
            <w:vAlign w:val="center"/>
          </w:tcPr>
          <w:p w14:paraId="33C79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服务方案设计</w:t>
            </w:r>
          </w:p>
        </w:tc>
        <w:tc>
          <w:tcPr>
            <w:tcW w:w="3375" w:type="pct"/>
            <w:noWrap w:val="0"/>
            <w:vAlign w:val="center"/>
          </w:tcPr>
          <w:p w14:paraId="6888A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针对学校项目特点，制定涵盖前期估算、招标阶段、施工阶段、结算阶段的全流程服务方案，流程清晰、节点明确的得10分，方案笼统、针对性不足的酌情扣3-8分。</w:t>
            </w:r>
          </w:p>
          <w:p w14:paraId="7E23C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（1）方案内容满足招标文件要求，内容全面、条理清晰，无瑕疵：10分；</w:t>
            </w:r>
          </w:p>
          <w:p w14:paraId="05579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（2）方案内容有1处瑕疵：7分；</w:t>
            </w:r>
          </w:p>
          <w:p w14:paraId="73159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（3）方案内容有2处瑕疵：4分；</w:t>
            </w:r>
          </w:p>
          <w:p w14:paraId="21FB1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（4）方案内容有3处瑕疵：1分；</w:t>
            </w:r>
          </w:p>
          <w:p w14:paraId="7945A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（5）未提供方案或不满足招标文件要求或内容存在4处及以上瑕疵：0分。</w:t>
            </w:r>
          </w:p>
        </w:tc>
        <w:tc>
          <w:tcPr>
            <w:tcW w:w="375" w:type="pct"/>
            <w:noWrap w:val="0"/>
            <w:vAlign w:val="center"/>
          </w:tcPr>
          <w:p w14:paraId="6639D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10分</w:t>
            </w:r>
          </w:p>
        </w:tc>
      </w:tr>
      <w:tr w14:paraId="3DB7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6" w:type="pct"/>
            <w:noWrap/>
            <w:vAlign w:val="center"/>
          </w:tcPr>
          <w:p w14:paraId="297ED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052" w:type="pct"/>
            <w:noWrap w:val="0"/>
            <w:vAlign w:val="center"/>
          </w:tcPr>
          <w:p w14:paraId="68BF6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质量控制体系</w:t>
            </w:r>
          </w:p>
        </w:tc>
        <w:tc>
          <w:tcPr>
            <w:tcW w:w="3375" w:type="pct"/>
            <w:noWrap w:val="0"/>
            <w:vAlign w:val="center"/>
          </w:tcPr>
          <w:p w14:paraId="50798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建立“项目负责人初审、技术负责人复审、专家终审”的三级校审制度，提供完善的质量控制细则及责任追溯机制的得10分，体系不健全的扣4-6分。</w:t>
            </w:r>
          </w:p>
        </w:tc>
        <w:tc>
          <w:tcPr>
            <w:tcW w:w="375" w:type="pct"/>
            <w:noWrap w:val="0"/>
            <w:vAlign w:val="center"/>
          </w:tcPr>
          <w:p w14:paraId="0378A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10分</w:t>
            </w:r>
          </w:p>
        </w:tc>
      </w:tr>
      <w:tr w14:paraId="78DB2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6" w:type="pct"/>
            <w:noWrap/>
            <w:vAlign w:val="center"/>
          </w:tcPr>
          <w:p w14:paraId="10223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052" w:type="pct"/>
            <w:noWrap w:val="0"/>
            <w:vAlign w:val="center"/>
          </w:tcPr>
          <w:p w14:paraId="62EC0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成果文件承诺</w:t>
            </w:r>
          </w:p>
        </w:tc>
        <w:tc>
          <w:tcPr>
            <w:tcW w:w="3375" w:type="pct"/>
            <w:noWrap w:val="0"/>
            <w:vAlign w:val="center"/>
          </w:tcPr>
          <w:p w14:paraId="0FFBF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承诺造价成果文件误差率控制在±3%以内（符合天津市造价咨询服务质量标准），并明确违约责任的得5分，未明确误差率或违约责任的不得分。</w:t>
            </w:r>
          </w:p>
        </w:tc>
        <w:tc>
          <w:tcPr>
            <w:tcW w:w="375" w:type="pct"/>
            <w:noWrap w:val="0"/>
            <w:vAlign w:val="center"/>
          </w:tcPr>
          <w:p w14:paraId="64CA6C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5分</w:t>
            </w:r>
          </w:p>
        </w:tc>
      </w:tr>
      <w:tr w14:paraId="6CEBE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96" w:type="pct"/>
            <w:noWrap/>
            <w:vAlign w:val="center"/>
          </w:tcPr>
          <w:p w14:paraId="2209F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052" w:type="pct"/>
            <w:noWrap w:val="0"/>
            <w:vAlign w:val="center"/>
          </w:tcPr>
          <w:p w14:paraId="740DE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服务响应能力</w:t>
            </w:r>
          </w:p>
        </w:tc>
        <w:tc>
          <w:tcPr>
            <w:tcW w:w="3375" w:type="pct"/>
            <w:noWrap w:val="0"/>
            <w:vAlign w:val="center"/>
          </w:tcPr>
          <w:p w14:paraId="43206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承诺接到学校需求后2小时内响应，48小时内出具初步方案，紧急项目提供24小时驻场服务的得5分，响应时间不符合要求的扣2-5分。</w:t>
            </w:r>
          </w:p>
        </w:tc>
        <w:tc>
          <w:tcPr>
            <w:tcW w:w="375" w:type="pct"/>
            <w:noWrap w:val="0"/>
            <w:vAlign w:val="center"/>
          </w:tcPr>
          <w:p w14:paraId="5B544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5分</w:t>
            </w:r>
          </w:p>
        </w:tc>
      </w:tr>
      <w:tr w14:paraId="7E0F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96" w:type="pct"/>
            <w:noWrap/>
            <w:vAlign w:val="center"/>
          </w:tcPr>
          <w:p w14:paraId="62B8C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052" w:type="pct"/>
            <w:noWrap w:val="0"/>
            <w:vAlign w:val="center"/>
          </w:tcPr>
          <w:p w14:paraId="48287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信息化服务能力</w:t>
            </w:r>
          </w:p>
        </w:tc>
        <w:tc>
          <w:tcPr>
            <w:tcW w:w="3375" w:type="pct"/>
            <w:noWrap w:val="0"/>
            <w:vAlign w:val="center"/>
          </w:tcPr>
          <w:p w14:paraId="3A057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具备工程造价管理系统，能够实现项目进度实时反馈、成果文件线上交付与归档的得5分，不具备的不得分。</w:t>
            </w:r>
          </w:p>
          <w:p w14:paraId="46590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center"/>
          </w:tcPr>
          <w:p w14:paraId="714B6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5分</w:t>
            </w:r>
          </w:p>
        </w:tc>
      </w:tr>
      <w:tr w14:paraId="3F71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4624" w:type="pct"/>
            <w:gridSpan w:val="3"/>
            <w:noWrap/>
            <w:vAlign w:val="center"/>
          </w:tcPr>
          <w:p w14:paraId="0805D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375" w:type="pct"/>
            <w:noWrap w:val="0"/>
            <w:vAlign w:val="center"/>
          </w:tcPr>
          <w:p w14:paraId="3F049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100分</w:t>
            </w:r>
          </w:p>
        </w:tc>
      </w:tr>
    </w:tbl>
    <w:p w14:paraId="79E6A5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941DB"/>
    <w:rsid w:val="2762122A"/>
    <w:rsid w:val="7899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2025-12-26T07:49:00Z</dcterms:created>
  <dc:creator>孙克平</dc:creator>
  <cp:lastModifiedBy>孙克平</cp:lastModifiedBy>
  <dcterms:modified xsi:type="dcterms:W3CDTF">2025-12-26T08:25:49Z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2FF4B213896C426BB8F8FF79E376DC14_13</vt:lpwstr>
  </property>
  <property fmtid="{D5CDD505-2E9C-101B-9397-08002B2CF9AE}" pid="4" name="KSOTemplateDocerSaveRecord">
    <vt:lpwstr>eyJoZGlkIjoiZDg5ZTVkYjE5YTMzZWZkYzgyZTQ3ZGM4YWRmMjNmM2QiLCJ1c2VySWQiOiIxNjc0NDY0MjcyIn0=</vt:lpwstr>
  </property>
</Properties>
</file>